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ADD4" w14:textId="04E758E9" w:rsidR="001D593D" w:rsidRDefault="00F615E5" w:rsidP="00487055">
      <w:pPr>
        <w:jc w:val="center"/>
        <w:rPr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61B5BEE2" wp14:editId="7F483837">
            <wp:extent cx="2821489" cy="3763147"/>
            <wp:effectExtent l="5398" t="0" r="3492" b="3493"/>
            <wp:docPr id="544475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44021" cy="37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055">
        <w:rPr>
          <w:szCs w:val="24"/>
        </w:rPr>
        <w:t xml:space="preserve">           </w:t>
      </w:r>
      <w:r>
        <w:rPr>
          <w:noProof/>
          <w14:ligatures w14:val="standardContextual"/>
        </w:rPr>
        <w:drawing>
          <wp:inline distT="0" distB="0" distL="0" distR="0" wp14:anchorId="51AFC8B7" wp14:editId="2B51E197">
            <wp:extent cx="4124856" cy="2815590"/>
            <wp:effectExtent l="0" t="0" r="9525" b="3810"/>
            <wp:docPr id="1954474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19" cy="28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E56D" w14:textId="77777777" w:rsidR="001D593D" w:rsidRDefault="001D593D" w:rsidP="001D593D">
      <w:pPr>
        <w:rPr>
          <w:szCs w:val="24"/>
        </w:rPr>
      </w:pPr>
    </w:p>
    <w:p w14:paraId="724116FF" w14:textId="77777777" w:rsidR="00487055" w:rsidRDefault="001D593D" w:rsidP="001D593D">
      <w:pPr>
        <w:rPr>
          <w:szCs w:val="24"/>
        </w:rPr>
      </w:pPr>
      <w:r>
        <w:rPr>
          <w:b/>
          <w:bCs/>
          <w:szCs w:val="24"/>
        </w:rPr>
        <w:t>A Tool for Optimized Cooling of High-Performance Systems</w:t>
      </w:r>
      <w:r>
        <w:rPr>
          <w:szCs w:val="24"/>
        </w:rPr>
        <w:t>: Cooling the h</w:t>
      </w:r>
      <w:r w:rsidRPr="00E86775">
        <w:rPr>
          <w:szCs w:val="24"/>
        </w:rPr>
        <w:t>igh</w:t>
      </w:r>
      <w:r>
        <w:rPr>
          <w:szCs w:val="24"/>
        </w:rPr>
        <w:t>-</w:t>
      </w:r>
      <w:r w:rsidRPr="00E86775">
        <w:rPr>
          <w:szCs w:val="24"/>
        </w:rPr>
        <w:t xml:space="preserve">performance computing </w:t>
      </w:r>
      <w:r>
        <w:rPr>
          <w:szCs w:val="24"/>
        </w:rPr>
        <w:t xml:space="preserve">systems </w:t>
      </w:r>
      <w:r w:rsidRPr="00E86775">
        <w:rPr>
          <w:szCs w:val="24"/>
        </w:rPr>
        <w:t xml:space="preserve">in AI datacenters, 5G radio access networks (RAN), and edge compute nodes </w:t>
      </w:r>
      <w:r>
        <w:rPr>
          <w:szCs w:val="24"/>
        </w:rPr>
        <w:t>is a growing challenge. That’s because</w:t>
      </w:r>
      <w:r w:rsidRPr="00E86775">
        <w:rPr>
          <w:szCs w:val="24"/>
        </w:rPr>
        <w:t xml:space="preserve"> </w:t>
      </w:r>
      <w:r>
        <w:rPr>
          <w:szCs w:val="24"/>
        </w:rPr>
        <w:t>the m</w:t>
      </w:r>
      <w:r w:rsidRPr="00E86775">
        <w:rPr>
          <w:szCs w:val="24"/>
        </w:rPr>
        <w:t xml:space="preserve">ulti-chip modules (MCMs) </w:t>
      </w:r>
      <w:r>
        <w:rPr>
          <w:szCs w:val="24"/>
        </w:rPr>
        <w:t xml:space="preserve">used in these systems, which integrate </w:t>
      </w:r>
      <w:r w:rsidRPr="00E86775">
        <w:rPr>
          <w:szCs w:val="24"/>
        </w:rPr>
        <w:t>CPUs, GPUs, and high</w:t>
      </w:r>
      <w:r>
        <w:rPr>
          <w:szCs w:val="24"/>
        </w:rPr>
        <w:t>-</w:t>
      </w:r>
      <w:r w:rsidRPr="00E86775">
        <w:rPr>
          <w:szCs w:val="24"/>
        </w:rPr>
        <w:t>bandwidth memory (HBM) in 2.5D</w:t>
      </w:r>
      <w:r>
        <w:rPr>
          <w:szCs w:val="24"/>
        </w:rPr>
        <w:t>/</w:t>
      </w:r>
      <w:r w:rsidRPr="00E86775">
        <w:rPr>
          <w:szCs w:val="24"/>
        </w:rPr>
        <w:t>3D architectures</w:t>
      </w:r>
      <w:r>
        <w:rPr>
          <w:szCs w:val="24"/>
        </w:rPr>
        <w:t>,</w:t>
      </w:r>
      <w:r w:rsidRPr="00E86775">
        <w:rPr>
          <w:szCs w:val="24"/>
        </w:rPr>
        <w:t xml:space="preserve"> </w:t>
      </w:r>
      <w:r>
        <w:rPr>
          <w:szCs w:val="24"/>
        </w:rPr>
        <w:t xml:space="preserve">already </w:t>
      </w:r>
      <w:r w:rsidRPr="00E86775">
        <w:rPr>
          <w:szCs w:val="24"/>
        </w:rPr>
        <w:t xml:space="preserve">draw more than 1000 </w:t>
      </w:r>
      <w:r>
        <w:rPr>
          <w:szCs w:val="24"/>
        </w:rPr>
        <w:t>watts, and that will increase going forward</w:t>
      </w:r>
      <w:r w:rsidRPr="00E86775">
        <w:rPr>
          <w:szCs w:val="24"/>
        </w:rPr>
        <w:t xml:space="preserve">. </w:t>
      </w:r>
      <w:r>
        <w:rPr>
          <w:szCs w:val="24"/>
        </w:rPr>
        <w:t xml:space="preserve">A Nokia Bell Labs team will describe a high-power thermal test vehicle (TTV) they built to assess </w:t>
      </w:r>
      <w:r w:rsidRPr="00E86775">
        <w:rPr>
          <w:szCs w:val="24"/>
        </w:rPr>
        <w:t xml:space="preserve">the efficiency of </w:t>
      </w:r>
      <w:r>
        <w:rPr>
          <w:szCs w:val="24"/>
        </w:rPr>
        <w:t xml:space="preserve">various novel </w:t>
      </w:r>
      <w:r w:rsidRPr="00E86775">
        <w:rPr>
          <w:szCs w:val="24"/>
        </w:rPr>
        <w:t>cooling solutions</w:t>
      </w:r>
      <w:r>
        <w:rPr>
          <w:szCs w:val="24"/>
        </w:rPr>
        <w:t xml:space="preserve">. </w:t>
      </w:r>
      <w:r w:rsidRPr="00E86775">
        <w:rPr>
          <w:szCs w:val="24"/>
        </w:rPr>
        <w:t xml:space="preserve">At </w:t>
      </w:r>
      <w:r>
        <w:rPr>
          <w:szCs w:val="24"/>
        </w:rPr>
        <w:t xml:space="preserve">its </w:t>
      </w:r>
      <w:r w:rsidRPr="00E86775">
        <w:rPr>
          <w:szCs w:val="24"/>
        </w:rPr>
        <w:t xml:space="preserve">core </w:t>
      </w:r>
      <w:r>
        <w:rPr>
          <w:szCs w:val="24"/>
        </w:rPr>
        <w:t xml:space="preserve">is </w:t>
      </w:r>
      <w:r w:rsidRPr="00E86775">
        <w:rPr>
          <w:szCs w:val="24"/>
        </w:rPr>
        <w:t xml:space="preserve">a multi-chip module </w:t>
      </w:r>
      <w:r>
        <w:rPr>
          <w:szCs w:val="24"/>
        </w:rPr>
        <w:t xml:space="preserve">(MCM) </w:t>
      </w:r>
      <w:r w:rsidRPr="00E86775">
        <w:rPr>
          <w:szCs w:val="24"/>
        </w:rPr>
        <w:t xml:space="preserve">consisting of six emulated logic dies and </w:t>
      </w:r>
      <w:r>
        <w:rPr>
          <w:szCs w:val="24"/>
        </w:rPr>
        <w:t xml:space="preserve">12 </w:t>
      </w:r>
      <w:r w:rsidRPr="00E86775">
        <w:rPr>
          <w:szCs w:val="24"/>
        </w:rPr>
        <w:t>emulated HBM stacks</w:t>
      </w:r>
      <w:r>
        <w:rPr>
          <w:szCs w:val="24"/>
        </w:rPr>
        <w:t xml:space="preserve">. These are mounted on a </w:t>
      </w:r>
      <w:r w:rsidRPr="00E86775">
        <w:rPr>
          <w:szCs w:val="24"/>
        </w:rPr>
        <w:t>ceramic</w:t>
      </w:r>
      <w:r>
        <w:rPr>
          <w:szCs w:val="24"/>
        </w:rPr>
        <w:t xml:space="preserve"> </w:t>
      </w:r>
      <w:r w:rsidRPr="00E86775">
        <w:rPr>
          <w:szCs w:val="24"/>
        </w:rPr>
        <w:t>interposer capable of dissipating more than 2600 W</w:t>
      </w:r>
      <w:r>
        <w:rPr>
          <w:szCs w:val="24"/>
        </w:rPr>
        <w:t>,</w:t>
      </w:r>
      <w:r w:rsidRPr="00E86775">
        <w:rPr>
          <w:szCs w:val="24"/>
        </w:rPr>
        <w:t xml:space="preserve"> with localized hotspots reaching 314 W/cm² (</w:t>
      </w:r>
      <w:r>
        <w:rPr>
          <w:szCs w:val="24"/>
        </w:rPr>
        <w:t xml:space="preserve">and </w:t>
      </w:r>
      <w:r w:rsidRPr="00E86775">
        <w:rPr>
          <w:szCs w:val="24"/>
        </w:rPr>
        <w:t>817 W/cm</w:t>
      </w:r>
      <w:r w:rsidRPr="00C6410E">
        <w:rPr>
          <w:szCs w:val="24"/>
          <w:vertAlign w:val="superscript"/>
        </w:rPr>
        <w:t>2</w:t>
      </w:r>
      <w:r w:rsidRPr="00E86775">
        <w:rPr>
          <w:szCs w:val="24"/>
        </w:rPr>
        <w:t xml:space="preserve"> over the heater resistor area). The </w:t>
      </w:r>
      <w:r>
        <w:rPr>
          <w:szCs w:val="24"/>
        </w:rPr>
        <w:t xml:space="preserve">MCM has </w:t>
      </w:r>
      <w:r w:rsidRPr="00E86775">
        <w:rPr>
          <w:szCs w:val="24"/>
        </w:rPr>
        <w:t>264 platinum</w:t>
      </w:r>
      <w:r>
        <w:rPr>
          <w:szCs w:val="24"/>
        </w:rPr>
        <w:t>-based</w:t>
      </w:r>
      <w:r w:rsidRPr="00E86775">
        <w:rPr>
          <w:szCs w:val="24"/>
        </w:rPr>
        <w:t xml:space="preserve"> resistive temperature detectors for high-resolution thermal monitoring</w:t>
      </w:r>
      <w:r>
        <w:rPr>
          <w:szCs w:val="24"/>
        </w:rPr>
        <w:t xml:space="preserve">. It enables </w:t>
      </w:r>
      <w:r w:rsidRPr="00E86775">
        <w:rPr>
          <w:szCs w:val="24"/>
        </w:rPr>
        <w:t xml:space="preserve">independent power control across 60 heater regions, facilitating </w:t>
      </w:r>
      <w:r>
        <w:rPr>
          <w:szCs w:val="24"/>
        </w:rPr>
        <w:t xml:space="preserve">the creation of </w:t>
      </w:r>
      <w:r w:rsidRPr="00E86775">
        <w:rPr>
          <w:szCs w:val="24"/>
        </w:rPr>
        <w:t>diverse heat maps</w:t>
      </w:r>
      <w:r>
        <w:rPr>
          <w:szCs w:val="24"/>
        </w:rPr>
        <w:t xml:space="preserve"> of </w:t>
      </w:r>
      <w:r w:rsidRPr="00030787">
        <w:rPr>
          <w:szCs w:val="24"/>
        </w:rPr>
        <w:t>discretized regions across the MCM surface</w:t>
      </w:r>
      <w:r>
        <w:rPr>
          <w:szCs w:val="24"/>
        </w:rPr>
        <w:t xml:space="preserve">. This capability enables the study and optimization of various </w:t>
      </w:r>
      <w:r w:rsidRPr="00030787">
        <w:rPr>
          <w:szCs w:val="24"/>
        </w:rPr>
        <w:t>novel cooling technologies</w:t>
      </w:r>
      <w:r>
        <w:rPr>
          <w:szCs w:val="24"/>
        </w:rPr>
        <w:t>.</w:t>
      </w:r>
    </w:p>
    <w:p w14:paraId="1628D6B3" w14:textId="7F6B0113" w:rsidR="00487055" w:rsidRDefault="001D593D" w:rsidP="00487055">
      <w:pPr>
        <w:ind w:firstLine="720"/>
        <w:rPr>
          <w:szCs w:val="24"/>
        </w:rPr>
      </w:pPr>
      <w:r>
        <w:rPr>
          <w:szCs w:val="24"/>
        </w:rPr>
        <w:t>In addition, the</w:t>
      </w:r>
      <w:r w:rsidRPr="00030787">
        <w:rPr>
          <w:szCs w:val="24"/>
        </w:rPr>
        <w:t xml:space="preserve"> </w:t>
      </w:r>
      <w:r w:rsidRPr="00D95E63">
        <w:rPr>
          <w:szCs w:val="24"/>
        </w:rPr>
        <w:t xml:space="preserve">TTV was integrated into a pumped </w:t>
      </w:r>
      <w:r>
        <w:rPr>
          <w:szCs w:val="24"/>
        </w:rPr>
        <w:t xml:space="preserve">two-phase </w:t>
      </w:r>
      <w:r w:rsidRPr="00D95E63">
        <w:rPr>
          <w:szCs w:val="24"/>
        </w:rPr>
        <w:t>refrigerant cooling system</w:t>
      </w:r>
      <w:r>
        <w:rPr>
          <w:szCs w:val="24"/>
        </w:rPr>
        <w:t xml:space="preserve">, which </w:t>
      </w:r>
      <w:r w:rsidRPr="00D95E63">
        <w:rPr>
          <w:szCs w:val="24"/>
        </w:rPr>
        <w:t>successfully handled heat fluxes up to 314 W/cm² over a 46 mm</w:t>
      </w:r>
      <w:r w:rsidRPr="00D95E63">
        <w:rPr>
          <w:szCs w:val="24"/>
          <w:vertAlign w:val="superscript"/>
        </w:rPr>
        <w:t>2</w:t>
      </w:r>
      <w:r w:rsidRPr="00D95E63">
        <w:rPr>
          <w:szCs w:val="24"/>
        </w:rPr>
        <w:t xml:space="preserve"> hotspot on each logic die</w:t>
      </w:r>
      <w:r>
        <w:rPr>
          <w:szCs w:val="24"/>
        </w:rPr>
        <w:t xml:space="preserve">. By reducing </w:t>
      </w:r>
      <w:r w:rsidRPr="00D95E63">
        <w:rPr>
          <w:szCs w:val="24"/>
        </w:rPr>
        <w:t xml:space="preserve">peak chip temperatures </w:t>
      </w:r>
      <w:r>
        <w:rPr>
          <w:szCs w:val="24"/>
        </w:rPr>
        <w:t xml:space="preserve">as much as </w:t>
      </w:r>
      <w:r w:rsidRPr="00D95E63">
        <w:rPr>
          <w:szCs w:val="24"/>
        </w:rPr>
        <w:t>25 °C</w:t>
      </w:r>
      <w:r>
        <w:rPr>
          <w:szCs w:val="24"/>
        </w:rPr>
        <w:t xml:space="preserve">, it </w:t>
      </w:r>
      <w:r w:rsidRPr="00D95E63">
        <w:rPr>
          <w:szCs w:val="24"/>
        </w:rPr>
        <w:t>highlight</w:t>
      </w:r>
      <w:r>
        <w:rPr>
          <w:szCs w:val="24"/>
        </w:rPr>
        <w:t>s</w:t>
      </w:r>
      <w:r w:rsidRPr="00D95E63">
        <w:rPr>
          <w:szCs w:val="24"/>
        </w:rPr>
        <w:t xml:space="preserve"> the superior thermal performance of two-phase </w:t>
      </w:r>
      <w:r>
        <w:rPr>
          <w:szCs w:val="24"/>
        </w:rPr>
        <w:t xml:space="preserve">versus </w:t>
      </w:r>
      <w:r w:rsidRPr="00D95E63">
        <w:rPr>
          <w:szCs w:val="24"/>
        </w:rPr>
        <w:t>single</w:t>
      </w:r>
      <w:r>
        <w:rPr>
          <w:szCs w:val="24"/>
        </w:rPr>
        <w:t>-</w:t>
      </w:r>
      <w:r w:rsidRPr="00D95E63">
        <w:rPr>
          <w:szCs w:val="24"/>
        </w:rPr>
        <w:t xml:space="preserve">phase </w:t>
      </w:r>
      <w:r w:rsidR="00487055">
        <w:rPr>
          <w:szCs w:val="24"/>
        </w:rPr>
        <w:t>cooling</w:t>
      </w:r>
      <w:r>
        <w:rPr>
          <w:szCs w:val="24"/>
        </w:rPr>
        <w:t>.</w:t>
      </w:r>
    </w:p>
    <w:p w14:paraId="0E7BE2DF" w14:textId="77777777" w:rsidR="00487055" w:rsidRDefault="00487055" w:rsidP="001D593D">
      <w:pPr>
        <w:rPr>
          <w:szCs w:val="24"/>
        </w:rPr>
      </w:pPr>
    </w:p>
    <w:p w14:paraId="4858AF3A" w14:textId="4F29DF25" w:rsidR="00487055" w:rsidRDefault="00487055" w:rsidP="001D593D">
      <w:pPr>
        <w:rPr>
          <w:szCs w:val="24"/>
        </w:rPr>
      </w:pPr>
      <w:r>
        <w:rPr>
          <w:szCs w:val="24"/>
        </w:rPr>
        <w:t>Above:</w:t>
      </w:r>
    </w:p>
    <w:p w14:paraId="1D7E2CE2" w14:textId="0DDC8C4B" w:rsidR="00487055" w:rsidRPr="00487055" w:rsidRDefault="00487055" w:rsidP="00487055">
      <w:pPr>
        <w:pStyle w:val="ListParagraph"/>
        <w:numPr>
          <w:ilvl w:val="0"/>
          <w:numId w:val="1"/>
        </w:numPr>
      </w:pPr>
      <w:r w:rsidRPr="00487055">
        <w:rPr>
          <w:b/>
          <w:bCs/>
          <w:u w:val="single"/>
        </w:rPr>
        <w:t>At left</w:t>
      </w:r>
      <w:r w:rsidRPr="00487055">
        <w:t xml:space="preserve"> is a photo of the fabricated single-substrate multi-chip module </w:t>
      </w:r>
      <w:r>
        <w:t xml:space="preserve">(MCM) </w:t>
      </w:r>
      <w:r w:rsidRPr="00487055">
        <w:t>with 18 thermal test chips. The six larger chips are the logic dies, while the 12 peripheral chips are high-bandwidth memories.</w:t>
      </w:r>
    </w:p>
    <w:p w14:paraId="1BCA9AEF" w14:textId="2427F1E9" w:rsidR="00487055" w:rsidRPr="00487055" w:rsidRDefault="00487055" w:rsidP="00487055">
      <w:pPr>
        <w:pStyle w:val="ListParagraph"/>
        <w:numPr>
          <w:ilvl w:val="0"/>
          <w:numId w:val="1"/>
        </w:numPr>
      </w:pPr>
      <w:r w:rsidRPr="00487055">
        <w:rPr>
          <w:b/>
          <w:bCs/>
          <w:u w:val="single"/>
        </w:rPr>
        <w:t>At right</w:t>
      </w:r>
      <w:r w:rsidRPr="00487055">
        <w:t xml:space="preserve"> are thermal </w:t>
      </w:r>
      <w:r w:rsidR="00A154DD">
        <w:t xml:space="preserve">maps </w:t>
      </w:r>
      <w:r w:rsidRPr="00487055">
        <w:t>comparing the performance of single- and two-phase flows, repr</w:t>
      </w:r>
      <w:r w:rsidR="00A154DD">
        <w:t>e</w:t>
      </w:r>
      <w:r w:rsidRPr="00487055">
        <w:t>sented by the difference in the MCM temperat</w:t>
      </w:r>
      <w:r w:rsidR="00A154DD">
        <w:t>u</w:t>
      </w:r>
      <w:r w:rsidRPr="00487055">
        <w:t>res (left column) and the ratio of the specific thermal resistances (right column) of single- and two-phase tests conducted at ~ 430 W and ~ 640 W (top and bottom rows, respectively).</w:t>
      </w:r>
    </w:p>
    <w:p w14:paraId="77D9830D" w14:textId="39FF270B" w:rsidR="001D593D" w:rsidRDefault="001D593D" w:rsidP="00487055">
      <w:r w:rsidRPr="00C10983">
        <w:rPr>
          <w:b/>
          <w:bCs/>
          <w:sz w:val="20"/>
        </w:rPr>
        <w:t>(IP session</w:t>
      </w:r>
      <w:r w:rsidR="00613687">
        <w:rPr>
          <w:b/>
          <w:bCs/>
          <w:sz w:val="20"/>
        </w:rPr>
        <w:t xml:space="preserve"> #40</w:t>
      </w:r>
      <w:r w:rsidRPr="00C10983">
        <w:rPr>
          <w:b/>
          <w:bCs/>
          <w:sz w:val="20"/>
        </w:rPr>
        <w:t>, “</w:t>
      </w:r>
      <w:r w:rsidRPr="00C10983">
        <w:rPr>
          <w:b/>
          <w:bCs/>
          <w:i/>
          <w:iCs/>
          <w:sz w:val="20"/>
        </w:rPr>
        <w:t>Experimental Demonstration of High-Power Thermal Test Vehicle using Two-Phase Cooling for AI Datacenters, 5G RAN, and Edge Compute Nodes</w:t>
      </w:r>
      <w:r w:rsidRPr="00C10983">
        <w:rPr>
          <w:b/>
          <w:bCs/>
          <w:sz w:val="20"/>
        </w:rPr>
        <w:t>,” Yang Liu et al, Nokia Bell Labs</w:t>
      </w:r>
      <w:r>
        <w:rPr>
          <w:szCs w:val="24"/>
        </w:rPr>
        <w:t>)</w:t>
      </w:r>
    </w:p>
    <w:sectPr w:rsidR="001D593D" w:rsidSect="001D59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7647E"/>
    <w:multiLevelType w:val="hybridMultilevel"/>
    <w:tmpl w:val="DF9C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6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3D"/>
    <w:rsid w:val="000B654D"/>
    <w:rsid w:val="001315EE"/>
    <w:rsid w:val="001472C1"/>
    <w:rsid w:val="00155383"/>
    <w:rsid w:val="001D593D"/>
    <w:rsid w:val="00487055"/>
    <w:rsid w:val="00613687"/>
    <w:rsid w:val="007D037A"/>
    <w:rsid w:val="008C3C7D"/>
    <w:rsid w:val="00A154DD"/>
    <w:rsid w:val="00D858DD"/>
    <w:rsid w:val="00DE75B0"/>
    <w:rsid w:val="00E079F4"/>
    <w:rsid w:val="00E523B4"/>
    <w:rsid w:val="00EC4447"/>
    <w:rsid w:val="00F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9DE0"/>
  <w15:chartTrackingRefBased/>
  <w15:docId w15:val="{297F6DC6-3705-4C3C-8F0A-A17E3A6C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3D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9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9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9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9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9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9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9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9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9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9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9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9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9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9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9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9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59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93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5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93D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59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9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2025-04-03T14:26:00Z</dcterms:created>
  <dcterms:modified xsi:type="dcterms:W3CDTF">2025-04-03T14:26:00Z</dcterms:modified>
</cp:coreProperties>
</file>